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40084A" w:rsidRDefault="00A82653" w:rsidP="00655B21">
      <w:pPr>
        <w:rPr>
          <w:sz w:val="20"/>
          <w:szCs w:val="20"/>
        </w:rPr>
      </w:pPr>
    </w:p>
    <w:p w14:paraId="2C719DBC" w14:textId="77777777" w:rsidR="00A4470D" w:rsidRPr="0040084A" w:rsidRDefault="00A4470D" w:rsidP="00024905">
      <w:pPr>
        <w:suppressAutoHyphens/>
        <w:jc w:val="center"/>
        <w:rPr>
          <w:b/>
          <w:bCs/>
        </w:rPr>
      </w:pPr>
    </w:p>
    <w:p w14:paraId="577DDB54" w14:textId="1B64CA8E" w:rsidR="001D291C" w:rsidRPr="0040084A" w:rsidRDefault="00FF54AE" w:rsidP="00024905">
      <w:pPr>
        <w:suppressAutoHyphens/>
        <w:jc w:val="center"/>
        <w:rPr>
          <w:b/>
          <w:bCs/>
        </w:rPr>
      </w:pPr>
      <w:r w:rsidRPr="0040084A">
        <w:rPr>
          <w:b/>
          <w:sz w:val="20"/>
          <w:szCs w:val="20"/>
        </w:rPr>
        <w:t>Kolumna anestezjologiczna</w:t>
      </w:r>
      <w:r w:rsidR="00E239AA" w:rsidRPr="0040084A">
        <w:rPr>
          <w:b/>
          <w:sz w:val="20"/>
          <w:szCs w:val="20"/>
        </w:rPr>
        <w:t xml:space="preserve"> </w:t>
      </w:r>
      <w:r w:rsidR="006C7E0C" w:rsidRPr="0040084A">
        <w:rPr>
          <w:b/>
          <w:sz w:val="20"/>
          <w:szCs w:val="20"/>
        </w:rPr>
        <w:t>–  1 szt.</w:t>
      </w:r>
    </w:p>
    <w:p w14:paraId="08BF6894" w14:textId="77777777" w:rsidR="006D36F8" w:rsidRPr="0040084A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2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126"/>
        <w:gridCol w:w="5954"/>
        <w:gridCol w:w="1983"/>
        <w:gridCol w:w="3403"/>
      </w:tblGrid>
      <w:tr w:rsidR="0040084A" w:rsidRPr="0040084A" w14:paraId="02F00AF6" w14:textId="77777777" w:rsidTr="00E239AA">
        <w:trPr>
          <w:trHeight w:val="717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E239AA" w:rsidRPr="0040084A" w:rsidRDefault="00E239AA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0084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E239AA" w:rsidRPr="0040084A" w:rsidRDefault="00E239AA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0084A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E239AA" w:rsidRPr="0040084A" w:rsidRDefault="00E239AA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0084A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E239AA" w:rsidRPr="0040084A" w:rsidRDefault="00E239AA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0084A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E239AA" w:rsidRPr="0040084A" w:rsidRDefault="00E239AA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40084A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40084A" w:rsidRPr="0040084A" w14:paraId="364EFE9C" w14:textId="77777777" w:rsidTr="00E239AA">
        <w:trPr>
          <w:trHeight w:val="2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FDED9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51467" w14:textId="394DAC1D" w:rsidR="00E239AA" w:rsidRPr="0040084A" w:rsidRDefault="00E239AA" w:rsidP="001B72F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 w:rsidRPr="0040084A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CB100" w14:textId="73D0974B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A7D89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2D83622F" w14:textId="77777777" w:rsidTr="00E239AA">
        <w:trPr>
          <w:trHeight w:val="2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73B1D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B7B4" w14:textId="24491262" w:rsidR="00E239AA" w:rsidRPr="0040084A" w:rsidRDefault="00E239AA" w:rsidP="001B72F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 w:rsidRPr="0040084A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B4B02" w14:textId="2252F014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7BEE6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54947B82" w14:textId="77777777" w:rsidTr="00E239AA">
        <w:trPr>
          <w:trHeight w:val="2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60352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1863" w14:textId="62D0E4C3" w:rsidR="00E239AA" w:rsidRPr="0040084A" w:rsidRDefault="00E239AA" w:rsidP="001B72F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 w:rsidRPr="0040084A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65F42" w14:textId="02E50135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5FC16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7BAB7B1D" w14:textId="77777777" w:rsidTr="00E239AA">
        <w:trPr>
          <w:trHeight w:val="2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A4611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C5A1" w14:textId="266C051A" w:rsidR="00E239AA" w:rsidRPr="0040084A" w:rsidRDefault="00E239AA" w:rsidP="001B72F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 w:rsidRPr="0040084A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087F5" w14:textId="190C8ECA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A58C0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4061B897" w14:textId="77777777" w:rsidTr="00E239AA">
        <w:trPr>
          <w:trHeight w:val="2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C9401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69E4B" w14:textId="11CEABC9" w:rsidR="00E239AA" w:rsidRPr="0040084A" w:rsidRDefault="00E239AA" w:rsidP="001B72F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 w:rsidRPr="0040084A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35201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D2A03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0D33295E" w14:textId="77777777" w:rsidTr="00E239AA">
        <w:trPr>
          <w:trHeight w:val="2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7B075C89" w:rsidR="00E239AA" w:rsidRPr="0040084A" w:rsidRDefault="00E239AA" w:rsidP="001B72F3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0084A">
              <w:rPr>
                <w:sz w:val="20"/>
                <w:szCs w:val="20"/>
                <w:lang w:val="pl-PL"/>
              </w:rPr>
              <w:t>Sufitowa jednostka zasilająca – urządzenie zakwalifikowane do wyrobów medycznych klasy II 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0C763" w14:textId="1923AB8E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8D0B976" w14:textId="77777777" w:rsidTr="00E239AA">
        <w:trPr>
          <w:trHeight w:val="2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27DE5583" w:rsidR="00E239AA" w:rsidRPr="0040084A" w:rsidRDefault="00E239AA" w:rsidP="001B72F3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0084A">
              <w:rPr>
                <w:sz w:val="20"/>
                <w:szCs w:val="20"/>
                <w:lang w:val="pl-PL"/>
              </w:rPr>
              <w:t>Kolumna anestezjologiczna przeznaczona do instalacji na sali operacyjnej, umożliwiająca podnoszenie wysokiej klasy aparatu do znieczulania ogólnego.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9E7727" w14:textId="255E1B0F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55EAD88C" w14:textId="77777777" w:rsidTr="00E239AA">
        <w:trPr>
          <w:trHeight w:val="2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68785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Kolumna mocowana do stropu za pomocą zawieszenia modułowego, wyposażonego w płytę interfejsową zainstalowaną na wysokości sufitu podwieszanego, na której wykonane będą połączenia instalacji wewnętrznych kolumny ze szpitalnymi instalacjami elektrycznymi, niskoprądowymi oraz rurociągami gazów medycznych, próżni i odciągu gazów anestezjologicznych. </w:t>
            </w:r>
          </w:p>
          <w:p w14:paraId="7899C571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99AB247" w14:textId="3E386EDF" w:rsidR="00E239AA" w:rsidRPr="0040084A" w:rsidRDefault="00E239AA" w:rsidP="001B72F3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0084A">
              <w:rPr>
                <w:sz w:val="20"/>
                <w:szCs w:val="20"/>
                <w:lang w:val="pl-PL"/>
              </w:rPr>
              <w:t>Nie dopuszcza się sytuacji, w której miejsce łączenia sieci szpitalnej (elektrycznej i gazowej) ma miejsce na łożysku kolumny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B63018" w14:textId="6C932625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41693750" w14:textId="77777777" w:rsidTr="00E239AA">
        <w:trPr>
          <w:trHeight w:val="2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384D6F" w14:textId="5E82644C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Sufitowa kolumna zasilająca składająca się z pionowej głowicy zasilającej zawieszonej na obrotowym wysięgniku dwuramiennym. Ramiona wykonane z aluminium. Rotacja ramion i głowicy w poziomie ≥330 stopni. Zakres pracy ramienia uchylnego min. 50 cm.</w:t>
            </w:r>
          </w:p>
          <w:p w14:paraId="7BA5769C" w14:textId="0CFF8221" w:rsidR="00E239AA" w:rsidRPr="0040084A" w:rsidRDefault="00E239AA" w:rsidP="001B72F3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0084A">
              <w:rPr>
                <w:sz w:val="20"/>
                <w:szCs w:val="20"/>
                <w:lang w:val="pl-PL"/>
              </w:rPr>
              <w:t>Ramiona oraz głowica kolumny tego samego producenta.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42FE4" w14:textId="65D31BEF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5E858410" w14:textId="77777777" w:rsidTr="00E239AA">
        <w:trPr>
          <w:trHeight w:val="2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9DDB93B" w:rsidR="00E239AA" w:rsidRPr="0040084A" w:rsidRDefault="00E239AA" w:rsidP="001B72F3">
            <w:pPr>
              <w:rPr>
                <w:b/>
                <w:bCs/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 xml:space="preserve">Ramiona kolumny o przekroju przypominającym kształt trapezu z zaokrąglonymi bocznymi krawędziami. (Górna podstawa trapezu wyraźnie dłuższa od dolnej. Powyższy kształt znacznie ogranicza </w:t>
            </w:r>
            <w:r w:rsidRPr="0040084A">
              <w:rPr>
                <w:sz w:val="20"/>
                <w:szCs w:val="20"/>
              </w:rPr>
              <w:lastRenderedPageBreak/>
              <w:t>osiadanie kurzu na bocznych częściach ramienia kolumny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2D733" w14:textId="398D7BB4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20353FFE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36B86641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Głowica zasilająca pionowa o wysokości min. 145 cm. Panele instalacyjne kolumny wykonane z aluminium anodowanego.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DF02EDC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0AC51977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3242A86E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Ścianki głowicy zasilającej łatwe do utrzymania w czystości: bez śrub, nitów, zaślepek, itp. na widocznych powierzchniach ścianek, wykonane z materiałów odpornych na działanie środków dezynfekcyjnych.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53B8542E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44835618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61823CB4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Hamulce pneumatyczne zasilane powietrzem z instalacji gazów medycznych, z rurociągu, którego są zasilanie gniazda gazowe sprężonego powietrza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5EFBA31C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048A673C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8.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76AD4089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 xml:space="preserve">Hamulce mechaniczne blokujące dalszy obrót kolumny z możliwością instalacji w odstępie max 15˚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4580BAEA" w:rsidR="00E239AA" w:rsidRPr="0040084A" w:rsidRDefault="00E239AA" w:rsidP="001B72F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2A89D044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9.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768F6BE9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 xml:space="preserve">Na każdej z krawędzi (min. 4) głowicy zasilającej zainstalowane pionowe prowadnice montażowe do mocowania wyposażenia kolumny (uchwytu na aparat, wysięgników, półek, szyn montażowych </w:t>
            </w:r>
            <w:proofErr w:type="spellStart"/>
            <w:r w:rsidRPr="0040084A">
              <w:rPr>
                <w:sz w:val="20"/>
                <w:szCs w:val="20"/>
              </w:rPr>
              <w:t>itp</w:t>
            </w:r>
            <w:proofErr w:type="spellEnd"/>
            <w:r w:rsidRPr="0040084A">
              <w:rPr>
                <w:sz w:val="20"/>
                <w:szCs w:val="20"/>
              </w:rPr>
              <w:t xml:space="preserve">). Pionowe opływowe (bez ostrych krawędzi)  prowadnice wystające poza obrys głowicy na jej całej długości – rozwiązanie umożliwiające łatwe mycie i dezynfekcję.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64674CF6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131426C6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2C594956" w:rsidR="00E239AA" w:rsidRPr="0040084A" w:rsidRDefault="00E239AA" w:rsidP="00E239A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Możliwość mocowania wyposażenia kolumny na każdej z 4 stron głowicy.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785F3EEE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63DDB8E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4B8690F4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 xml:space="preserve">Możliwość wyboru koloru prowadnic na etapie zamówienia z zestawu min. 12 kolorów.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1F4F" w14:textId="686F3F37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0D7A817E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359F5603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 xml:space="preserve">Głowica wyposażona w uchwyt do podnoszenia aparatu do znieczulania.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4F2A9B07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5F644149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438A671D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 xml:space="preserve">Na jednej z bocznych ścianek głowica zasilająca wyposażona w zintegrowany schowek na nadmiar rur gazów medycznych oraz kabli elektrycznych i przewodów teletechnicznych o długości min 700mm. Możliwość ukrywania nadmiaru kabli i rur gazów medycznych od aparatury zainstalowanej na stanowisku wewnątrz głowicy.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0EF4A119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619C2327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5B023B15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Powyższy schowek zamykany drzwiczkami uszczelnionymi gumowymi uszczelkami eliminującymi ryzyko uszkodzenia przewodów i węży.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719BA64B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2A83BC9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0A51" w14:textId="3A3D4FEB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Wymiary wszystkich szyn montażowych na kolumnie szerokość od 25 - 35 (+/- 10 mm) mm oraz o grubość 10 mm (+/- 2,5 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A722" w14:textId="3ADDED0D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5CDC518B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CF4F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Na czterech ściankach głowicy zasilającej zainstalowane następujące gniazda:</w:t>
            </w:r>
          </w:p>
          <w:p w14:paraId="01ACF467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Punkty poboru gazów medycznych i próżni: </w:t>
            </w:r>
          </w:p>
          <w:p w14:paraId="6328B9B4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C6927A1" w14:textId="6D50A34F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tlen – min. 2 szt.,</w:t>
            </w:r>
          </w:p>
          <w:p w14:paraId="592211EB" w14:textId="36A6596B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sprężone powietrze –  min</w:t>
            </w:r>
            <w:r w:rsidR="006C7E0C" w:rsidRPr="0040084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 2 szt.,</w:t>
            </w:r>
          </w:p>
          <w:p w14:paraId="0B165AB0" w14:textId="26C12A26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próżnia –  min</w:t>
            </w:r>
            <w:r w:rsidR="006C7E0C" w:rsidRPr="0040084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  2 szt.,</w:t>
            </w:r>
          </w:p>
          <w:p w14:paraId="73A1BE24" w14:textId="5B7ACA32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podtlenek azotu – min</w:t>
            </w:r>
            <w:r w:rsidR="006C7E0C" w:rsidRPr="0040084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  1szt.</w:t>
            </w:r>
          </w:p>
          <w:p w14:paraId="1F0871BA" w14:textId="10ABCA91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dwutlenek węgla – min</w:t>
            </w:r>
            <w:r w:rsidR="006C7E0C" w:rsidRPr="0040084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  1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szt</w:t>
            </w:r>
            <w:proofErr w:type="spellEnd"/>
          </w:p>
          <w:p w14:paraId="21FFAFC8" w14:textId="2986CD75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odciąg gazów anestetycznych –  min</w:t>
            </w:r>
            <w:r w:rsidR="006C7E0C" w:rsidRPr="0040084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 1 szt.</w:t>
            </w:r>
          </w:p>
          <w:p w14:paraId="690762DF" w14:textId="3384BE7F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gniazdka elektryczne 230 V –  min</w:t>
            </w:r>
            <w:r w:rsidR="006C7E0C" w:rsidRPr="0040084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 8 szt.</w:t>
            </w:r>
          </w:p>
          <w:p w14:paraId="5B68EF55" w14:textId="16E5A642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bolce ekwipotencjalne (każdy bolec obok gniazdka elektrycznego) – min</w:t>
            </w:r>
            <w:r w:rsidR="006C7E0C" w:rsidRPr="0040084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  8 szt.</w:t>
            </w:r>
          </w:p>
          <w:p w14:paraId="63B2866A" w14:textId="068CE26F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gniazdko sieci komputerowej – min</w:t>
            </w:r>
            <w:r w:rsidR="006C7E0C" w:rsidRPr="0040084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 2 szt.</w:t>
            </w:r>
          </w:p>
          <w:p w14:paraId="52DB77FC" w14:textId="65D77D0F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miejsca przygotowane pod instalację w przyszłości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dodatk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. gniazd niskoprądowych –  min</w:t>
            </w:r>
            <w:r w:rsidR="006C7E0C" w:rsidRPr="0040084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 2 szt. </w:t>
            </w:r>
          </w:p>
          <w:p w14:paraId="4896D277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155997F" w14:textId="5D1509DA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Gniazda gazowe oraz odciąg gazów anestetycznych tego samego producenta, co kolumna.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13390D85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36C5B54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85660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Punkty poboru gazów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medyczncyh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 oraz próżni z możliwością zamontowania na min 3 stronach głowicy – na tych samych panelach instalacyjnych co gniazda elektryczne i niskoprądowe. W celu zachowania należytej higieny nie dopuszcza się gniazdek elektrycznych zlicowanych z powierzchnią głowicy.</w:t>
            </w:r>
          </w:p>
          <w:p w14:paraId="75F843A7" w14:textId="36A6570D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Możliwość montażu punktów poboru gazów medycznych powyżej gniazd elektrycznych.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DC01D9A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09B27762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9EF8" w14:textId="3F5BD4F6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Możliwość instalacji punktów poboru gazów medycz</w:t>
            </w:r>
            <w:r w:rsidR="0040084A" w:rsidRPr="0040084A">
              <w:rPr>
                <w:sz w:val="20"/>
                <w:szCs w:val="20"/>
              </w:rPr>
              <w:t>n</w:t>
            </w:r>
            <w:r w:rsidRPr="0040084A">
              <w:rPr>
                <w:sz w:val="20"/>
                <w:szCs w:val="20"/>
              </w:rPr>
              <w:t>ych powyżej gniazd elektrycznych na tych samych panelach instalacyjnych.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78D78CF4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A0E68AF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8.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5B58CD99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Na ściankach frontowej i tylnej gniazda gazowe i elektryczne zamon</w:t>
            </w:r>
            <w:r w:rsidR="0040084A" w:rsidRPr="0040084A">
              <w:rPr>
                <w:sz w:val="20"/>
                <w:szCs w:val="20"/>
              </w:rPr>
              <w:t>t</w:t>
            </w:r>
            <w:r w:rsidRPr="0040084A">
              <w:rPr>
                <w:sz w:val="20"/>
                <w:szCs w:val="20"/>
              </w:rPr>
              <w:t>owane w dwóch pionowych rzędach.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15F47463" w:rsidR="00E239AA" w:rsidRPr="0040084A" w:rsidRDefault="0040084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5323CE1C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9.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05F82E04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Punkty poboru gazów medycznych zgodne z normą DIN 13260-2 (tzw. typ DIN). Do wyboru przez zamawiającego.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25AEC429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4F559598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BCCF" w14:textId="4B8055D5" w:rsidR="00E239AA" w:rsidRPr="0040084A" w:rsidRDefault="00E239AA" w:rsidP="00456682">
            <w:pPr>
              <w:suppressAutoHyphens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0084A">
              <w:rPr>
                <w:sz w:val="20"/>
                <w:szCs w:val="20"/>
              </w:rPr>
              <w:t>Wszystkie punkty poboru gazów, trwale opisane i oznaczone kolorami kodującymi typ gazu</w:t>
            </w:r>
            <w:r w:rsidR="0040084A" w:rsidRPr="0040084A">
              <w:rPr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CF3" w14:textId="1AC3654C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6ADD9779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4103" w14:textId="64F30D79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Odciąg gazów anestetycznych</w:t>
            </w:r>
            <w:r w:rsidR="0040084A" w:rsidRPr="0040084A">
              <w:rPr>
                <w:sz w:val="20"/>
                <w:szCs w:val="20"/>
              </w:rPr>
              <w:t xml:space="preserve">, </w:t>
            </w:r>
            <w:r w:rsidRPr="0040084A">
              <w:rPr>
                <w:sz w:val="20"/>
                <w:szCs w:val="20"/>
              </w:rPr>
              <w:t>wyposażony w eżektor zasilany sprężonym powietrzem 5 bar.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E80F" w14:textId="34FE3201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59EE616C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5CED" w14:textId="6EB7BC4E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0084A">
              <w:rPr>
                <w:sz w:val="20"/>
                <w:szCs w:val="20"/>
              </w:rPr>
              <w:t xml:space="preserve">Punkty poboru gazów medycznych posiadające zawór zwrotny, którego wymiana nie wymaga demontażu frontowej pokrywy. </w:t>
            </w:r>
            <w:r w:rsidRPr="0040084A">
              <w:rPr>
                <w:sz w:val="20"/>
                <w:szCs w:val="20"/>
              </w:rPr>
              <w:lastRenderedPageBreak/>
              <w:t>Punkty poboru muszą umożliwiać wymianę zaworu końcowego z systemu AGA na system DIN bez konieczności demontażu gniazda.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7387A00D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2E8C5C4E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9C7" w14:textId="5DBC84B4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0084A">
              <w:rPr>
                <w:sz w:val="20"/>
                <w:szCs w:val="20"/>
              </w:rPr>
              <w:t>Gniazda elektryczne na płaszczyźnie ścianek głowicy obrócone pod kątem 45 stopni w stosunku do osi wzdłużnej głowicy. Do oferty załączone zdjęcie przedstawiające oferowane rozwiązanie.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2636FE83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672023E3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2A36" w14:textId="5F67899D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0084A">
              <w:rPr>
                <w:sz w:val="20"/>
                <w:szCs w:val="20"/>
              </w:rPr>
              <w:t>Gniazdka sieci komputerowej typu RJ-45.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6ED26000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E598F40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88EB2" w14:textId="4D0C8867" w:rsidR="00E239AA" w:rsidRPr="0040084A" w:rsidRDefault="00E239AA" w:rsidP="00E239A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 xml:space="preserve">Zasięg kolumny mierzony od osi obrotu wysięgnika (punkt mocowania do stropu) do osi obrotu głowicy zasilającej: co najmniej 150 cm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16F5" w14:textId="74D9C0C4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1DC609C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CFD1" w14:textId="60C507E0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0084A">
              <w:rPr>
                <w:sz w:val="20"/>
                <w:szCs w:val="20"/>
              </w:rPr>
              <w:t>Wysięgnik kolumny wyposażony w blokadę obrotu ramion oraz głowicy zasilającej (blokowane 3 przeguby)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0D06FBBC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16E4C5CB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5D92" w14:textId="5FF422DB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0084A">
              <w:rPr>
                <w:sz w:val="20"/>
                <w:szCs w:val="20"/>
              </w:rPr>
              <w:t>Regulacja wysokości kolumny z aparatem do znieczulania za pomocą uchylnego ramienia wysięgnika, napędzanego elektrycznie, realizującego ruch pionowy całej głowicy zasilającej w zakresie, co najmniej 50 cm.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343F4B52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D41C726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5723" w14:textId="7B39470D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0084A">
              <w:rPr>
                <w:sz w:val="20"/>
                <w:szCs w:val="20"/>
              </w:rPr>
              <w:t>Dotykowe (poprzez chwyt dłoni) zwalnianie blokady pneumatycznej obrotu ramion i głowicy za pomocą dwuręcznego - dwuczęściowego uchwytu zorientowanego pionowo. Do oferty należy załączyć zdjęcie z oryginalnego, powszechnie dostępnego na stronie internetowej producenta katalogu przedstawiające zaoferowane rozwiązanie.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299AA2AC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BB07868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8.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2C5F65DF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0084A">
              <w:rPr>
                <w:sz w:val="20"/>
                <w:szCs w:val="20"/>
              </w:rPr>
              <w:t>Przyciski góra/dół do zmiany wysokości na jednej z rękojeści uchwytu.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73F0F2E3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20400356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9.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9C90" w14:textId="7DA2EFDD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0084A">
              <w:rPr>
                <w:sz w:val="20"/>
                <w:szCs w:val="20"/>
              </w:rPr>
              <w:t>Możliwość przekładania obu bezprzewodowych rękojeści uchwytu pomiędzy wszystkimi ściankami głowicy na dowolnej wysokości. Możliwość zwolnienia blokady pneumatycznej poprzez chwyt jednej rękojeści.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11F4AE56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5666905D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28EA" w14:textId="72D0CA05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0084A">
              <w:rPr>
                <w:sz w:val="20"/>
                <w:szCs w:val="20"/>
              </w:rPr>
              <w:t xml:space="preserve">Dodatkowe  przyciski do zwalniania hamulców oraz zmiany wysokości umieszczone na panelu na jednej ze ścian głowicy. Panel odporny na środki do dezynfekcji.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4EE3052C" w:rsidR="00E239AA" w:rsidRPr="0040084A" w:rsidRDefault="00E239AA" w:rsidP="001B72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03CB5082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EA320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CAEE" w14:textId="29DC4B11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 xml:space="preserve">Udźwig kolumny (dopuszczalna masa aparatu do znieczulania ogólnego i wyposażenia, które można zawiesić na głowicy zasilającej kolumny): co najmniej 300 kg. Wartość udźwigu kolumny przy oferowanej długości wysięgnika potwierdzona w </w:t>
            </w:r>
            <w:r w:rsidRPr="0040084A">
              <w:rPr>
                <w:sz w:val="20"/>
                <w:szCs w:val="20"/>
              </w:rPr>
              <w:lastRenderedPageBreak/>
              <w:t>załączonej do oferty instrukcji obsługi kolumny lub w oryginalnym prospekcie / katalogu powszechnie dostępnym na stronie internetowej producenta kolumny.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9F12B" w14:textId="03389BBA" w:rsidR="00E239AA" w:rsidRPr="0040084A" w:rsidRDefault="00E239AA" w:rsidP="001B72F3">
            <w:pPr>
              <w:spacing w:line="276" w:lineRule="auto"/>
              <w:jc w:val="center"/>
            </w:pPr>
            <w:r w:rsidRPr="0040084A"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6327A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7C869671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FEAA0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660AA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Wyposażenie zamocowane na głowicy kolumny:</w:t>
            </w:r>
          </w:p>
          <w:p w14:paraId="70F73E16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- drążek infuzyjny – 1 szt.,</w:t>
            </w:r>
          </w:p>
          <w:p w14:paraId="5815B426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 xml:space="preserve">- wysięgnik na drążek – 1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szt</w:t>
            </w:r>
            <w:proofErr w:type="spellEnd"/>
          </w:p>
          <w:p w14:paraId="5918C6C1" w14:textId="53ACEDD8" w:rsidR="00E239AA" w:rsidRPr="0040084A" w:rsidRDefault="00E239AA" w:rsidP="001B72F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0084A">
              <w:rPr>
                <w:sz w:val="20"/>
                <w:szCs w:val="20"/>
              </w:rPr>
              <w:t>- wysięgnik na kardiomonitor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DB0A8" w14:textId="2C2D61B8" w:rsidR="00E239AA" w:rsidRPr="0040084A" w:rsidRDefault="00E239AA" w:rsidP="001B72F3">
            <w:pPr>
              <w:spacing w:line="276" w:lineRule="auto"/>
              <w:jc w:val="center"/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3C843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B01A508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B8AC9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8280B" w14:textId="10DDD51B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Drążek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infuzyjny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długości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100 cm (±10 cm ). z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wysuwanym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wieszakiem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kroplówek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(min. 4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metalowe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zaczepy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rozmieszczone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90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stopni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).  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Drążek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wyposażony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specjalny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pierścień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mający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celu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zabezpieczenie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zawieszonych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pomp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infuzyjnych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przed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zsunięciem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524D6" w14:textId="2BE231A7" w:rsidR="00E239AA" w:rsidRPr="0040084A" w:rsidRDefault="00E239AA" w:rsidP="001B72F3">
            <w:pPr>
              <w:spacing w:line="276" w:lineRule="auto"/>
              <w:jc w:val="center"/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28553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3455E62D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1D713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4DA68" w14:textId="5E6C211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Wysięgnik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mocowania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drążka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infuzyjnego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kolumnie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dwuramienny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obrotowy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>, o 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zasięgu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najmniej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40 cm i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udźwigu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najmniej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25 kg (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wymiar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mierzony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osi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osi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obrotu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) Nie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dopuszcza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pomocniczego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drążka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łączącego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poszczególne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części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wysięgnika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ramiona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znajdującego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przegubie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pośrednim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B8DD7" w14:textId="753E59E7" w:rsidR="00E239AA" w:rsidRPr="0040084A" w:rsidRDefault="00E239AA" w:rsidP="001B72F3">
            <w:pPr>
              <w:spacing w:line="276" w:lineRule="auto"/>
              <w:jc w:val="center"/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CA295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1E55459B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B5825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158A2" w14:textId="485BFC76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Wysięgnik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mocowania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komputera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medycznego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głowicy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obrotowy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dwuramienny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zasięgu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min 400 mm (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wymiar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ściągnięty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osiach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obrotu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) i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udźwigu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min. 15 kg.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Podstawka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40084A">
              <w:rPr>
                <w:rFonts w:ascii="Arial" w:hAnsi="Arial" w:cs="Arial"/>
                <w:sz w:val="20"/>
                <w:szCs w:val="20"/>
              </w:rPr>
              <w:t>klawiature</w:t>
            </w:r>
            <w:proofErr w:type="spellEnd"/>
            <w:r w:rsidRPr="004008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22CD9" w14:textId="0BF11AB4" w:rsidR="00E239AA" w:rsidRPr="0040084A" w:rsidRDefault="00E239AA" w:rsidP="001B72F3">
            <w:pPr>
              <w:spacing w:line="276" w:lineRule="auto"/>
              <w:jc w:val="center"/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0E16F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0084A" w:rsidRPr="0040084A" w14:paraId="10BD1A0D" w14:textId="77777777" w:rsidTr="00E239AA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90A26" w14:textId="77777777" w:rsidR="00E239AA" w:rsidRPr="0040084A" w:rsidRDefault="00E239AA" w:rsidP="001B72F3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D1713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0084A">
              <w:rPr>
                <w:rFonts w:ascii="Arial" w:hAnsi="Arial" w:cs="Arial"/>
                <w:sz w:val="20"/>
                <w:szCs w:val="20"/>
                <w:lang w:val="pl-PL"/>
              </w:rPr>
              <w:t>Wysięgniki na drążek/monitor wyposażone w wewnętrzne zatrzaskiwane kanały do prowadzenia kabli (np. zasilania pomp infuzyjnych) oraz hamulce cierne przy dwóch przegubach regulowane ergonomicznymi okrągłymi pokrętłami. Do oferty należy załączyć zdjęcie z oryginalnego, powszechnie dostępnego na stronie internetowej producenta katalogu przedstawiające zaoferowane rozwiązanie.</w:t>
            </w:r>
          </w:p>
          <w:p w14:paraId="74C72EFD" w14:textId="77777777" w:rsidR="00E239AA" w:rsidRPr="0040084A" w:rsidRDefault="00E239AA" w:rsidP="001B72F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2A24A" w14:textId="428B1024" w:rsidR="00E239AA" w:rsidRPr="0040084A" w:rsidRDefault="00E239AA" w:rsidP="001B72F3">
            <w:pPr>
              <w:spacing w:line="276" w:lineRule="auto"/>
              <w:jc w:val="center"/>
            </w:pPr>
            <w:r w:rsidRPr="0040084A"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6AB79" w14:textId="77777777" w:rsidR="00E239AA" w:rsidRPr="0040084A" w:rsidRDefault="00E239AA" w:rsidP="001B72F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40084A" w:rsidRDefault="00641065" w:rsidP="00655B21">
      <w:pPr>
        <w:rPr>
          <w:sz w:val="20"/>
          <w:szCs w:val="20"/>
        </w:rPr>
      </w:pPr>
    </w:p>
    <w:p w14:paraId="0718EEB0" w14:textId="77777777" w:rsidR="005A2F11" w:rsidRPr="0040084A" w:rsidRDefault="005A2F11" w:rsidP="00655B21">
      <w:pPr>
        <w:rPr>
          <w:sz w:val="20"/>
          <w:szCs w:val="20"/>
        </w:rPr>
      </w:pPr>
    </w:p>
    <w:sectPr w:rsidR="005A2F11" w:rsidRPr="0040084A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C2E"/>
    <w:multiLevelType w:val="hybridMultilevel"/>
    <w:tmpl w:val="CD6C4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60026"/>
    <w:multiLevelType w:val="hybridMultilevel"/>
    <w:tmpl w:val="FF18E4D0"/>
    <w:lvl w:ilvl="0" w:tplc="A8EE462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9459B"/>
    <w:multiLevelType w:val="hybridMultilevel"/>
    <w:tmpl w:val="2AD20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B72F3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0084A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6682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5BCE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C7E0C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13D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39AA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00FF54AE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Standard">
    <w:name w:val="Standard"/>
    <w:rsid w:val="00FF54AE"/>
    <w:pPr>
      <w:suppressAutoHyphens/>
      <w:autoSpaceDE/>
      <w:autoSpaceDN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1150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7</cp:revision>
  <cp:lastPrinted>2024-11-14T08:47:00Z</cp:lastPrinted>
  <dcterms:created xsi:type="dcterms:W3CDTF">2025-07-17T09:40:00Z</dcterms:created>
  <dcterms:modified xsi:type="dcterms:W3CDTF">2025-07-29T12:57:00Z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